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51B05" w14:textId="20B3678D" w:rsidR="00F06BF6" w:rsidRPr="004E39AC" w:rsidRDefault="004E39AC" w:rsidP="00803C4C">
      <w:pPr>
        <w:spacing w:line="240" w:lineRule="auto"/>
        <w:ind w:left="288" w:hanging="288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Cansler, C. Alina</w:t>
      </w:r>
      <w:r w:rsidR="00D13839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1</w:t>
      </w:r>
      <w:r w:rsidR="00B40857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Mark E. Swanson</w:t>
      </w:r>
      <w:r w:rsidR="00027B81"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="00B40857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Tucker J. Furniss</w:t>
      </w:r>
      <w:r w:rsidR="00027B81"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3</w:t>
      </w:r>
      <w:r w:rsidR="00B40857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Andrew J. Larson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4</w:t>
      </w:r>
      <w:r w:rsidR="00136821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and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James A. Lutz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3</w:t>
      </w:r>
      <w:r w:rsidR="00B40857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. 201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8</w:t>
      </w:r>
      <w:r w:rsidR="00B40857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F06BF6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Data for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pre-fire and post-fire surface fuel loading in a Sierra Nevada mixed-conifer forest</w:t>
      </w:r>
      <w:r w:rsidR="00F06BF6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14:paraId="068BB830" w14:textId="54588A13" w:rsidR="00027B81" w:rsidRPr="004E39AC" w:rsidRDefault="00027B81" w:rsidP="00B40857">
      <w:pPr>
        <w:spacing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1</w:t>
      </w:r>
      <w:r w:rsidR="004E39AC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USDA Forest Service, Rocky Mountain Research Station, Fire, Fuel, and Smoke Science Program, 5775 Hwy 10 W, Missoula, MT 59808</w:t>
      </w:r>
    </w:p>
    <w:p w14:paraId="1ACDFD67" w14:textId="28276B6C" w:rsidR="00027B81" w:rsidRPr="004E39AC" w:rsidRDefault="00027B81" w:rsidP="00B40857">
      <w:pPr>
        <w:spacing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="004E39AC" w:rsidRPr="004E3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School of the Environment, Washington State University, Pullman, WA 99164-6420. </w:t>
      </w:r>
    </w:p>
    <w:p w14:paraId="5968DE4C" w14:textId="4B760660" w:rsidR="00027B81" w:rsidRPr="004E39AC" w:rsidRDefault="00027B81" w:rsidP="004E39AC">
      <w:pPr>
        <w:spacing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3</w:t>
      </w:r>
      <w:r w:rsidR="004E39AC" w:rsidRPr="004E39AC">
        <w:rPr>
          <w:rFonts w:ascii="Times New Roman" w:hAnsi="Times New Roman" w:cs="Times New Roman"/>
          <w:color w:val="000000" w:themeColor="text1"/>
          <w:sz w:val="24"/>
          <w:szCs w:val="24"/>
        </w:rPr>
        <w:t>Department of Wildland Resources, Utah State University, Logan, UT 84322-5230.</w:t>
      </w:r>
    </w:p>
    <w:p w14:paraId="2BEC1C9B" w14:textId="2A49CD84" w:rsidR="004E39AC" w:rsidRPr="004E39AC" w:rsidRDefault="00027B81" w:rsidP="00B4085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4</w:t>
      </w:r>
      <w:r w:rsidR="004E39AC" w:rsidRPr="004E39AC">
        <w:rPr>
          <w:rFonts w:ascii="Times New Roman" w:hAnsi="Times New Roman" w:cs="Times New Roman"/>
          <w:color w:val="000000" w:themeColor="text1"/>
          <w:sz w:val="24"/>
          <w:szCs w:val="24"/>
        </w:rPr>
        <w:t>Department of Forest Management, University of Montana, Missoula, MT 59812.</w:t>
      </w:r>
    </w:p>
    <w:p w14:paraId="17332D9D" w14:textId="60455CF5" w:rsidR="00AD4C20" w:rsidRDefault="004E39AC" w:rsidP="00B40857">
      <w:pPr>
        <w:spacing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>This data set</w:t>
      </w:r>
      <w:r w:rsidR="00AD4C20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includes measurements of 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the </w:t>
      </w:r>
      <w:r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116 fuel transects 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that were used in Cansler et al. (in review). The research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was conducted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in the Yosemite Forest Dynamics Plot, Yosemite National Park, California, USA (Lutz et al. 2012). </w:t>
      </w:r>
      <w:r w:rsidR="001C6D0E" w:rsidRPr="004E39AC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66795E72" w14:textId="108E40A0" w:rsidR="00AD2B16" w:rsidRDefault="00AD2B16" w:rsidP="00B40857">
      <w:pPr>
        <w:spacing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Methods follow those of Brown (1974), with wood density by species and decay class calculated using the values determined by Harmon and Sexton (1996) and Harmon et al. (2008). </w:t>
      </w:r>
    </w:p>
    <w:p w14:paraId="2A521D22" w14:textId="44331C85" w:rsidR="00027B81" w:rsidRPr="00803C4C" w:rsidRDefault="00027B81" w:rsidP="00D40792">
      <w:pPr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>Metadata</w:t>
      </w:r>
    </w:p>
    <w:p w14:paraId="7E40AB6B" w14:textId="3B3D1D54" w:rsidR="00D13839" w:rsidRDefault="001C6D0E" w:rsidP="001C6D0E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File </w:t>
      </w:r>
      <w:r w:rsidR="000947F6">
        <w:rPr>
          <w:rStyle w:val="Strong"/>
          <w:rFonts w:ascii="Times New Roman" w:hAnsi="Times New Roman" w:cs="Times New Roman"/>
          <w:b w:val="0"/>
          <w:sz w:val="24"/>
          <w:szCs w:val="24"/>
        </w:rPr>
        <w:t>Cansler_et_al_</w:t>
      </w:r>
      <w:r w:rsidR="00D13839">
        <w:rPr>
          <w:rStyle w:val="Strong"/>
          <w:rFonts w:ascii="Times New Roman" w:hAnsi="Times New Roman" w:cs="Times New Roman"/>
          <w:b w:val="0"/>
          <w:sz w:val="24"/>
          <w:szCs w:val="24"/>
        </w:rPr>
        <w:t>YFDP_</w:t>
      </w:r>
      <w:r w:rsidR="000947F6">
        <w:rPr>
          <w:rStyle w:val="Strong"/>
          <w:rFonts w:ascii="Times New Roman" w:hAnsi="Times New Roman" w:cs="Times New Roman"/>
          <w:b w:val="0"/>
          <w:sz w:val="24"/>
          <w:szCs w:val="24"/>
        </w:rPr>
        <w:t>Density_By_Species_By_Decay_Class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.csv</w:t>
      </w:r>
    </w:p>
    <w:p w14:paraId="0C3F1CDC" w14:textId="77777777" w:rsidR="00A2359C" w:rsidRDefault="00A2359C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This file contains the wood density values used for the calculations.</w:t>
      </w:r>
    </w:p>
    <w:p w14:paraId="196B1CB5" w14:textId="5BA60C9F" w:rsidR="001C6D0E" w:rsidRDefault="000947F6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i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Species: Four character abbreviation for the tree or tall shrub species – ABCO: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Abies concolor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CADE: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Calocedrus decurrens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PILA: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Pinus lambertiana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QUKE: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Quercus kelloggii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PSME: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Pseudotsuga menziesii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CONU: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Cornus nuttallii</w:t>
      </w:r>
      <w:r w:rsid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.</w:t>
      </w:r>
    </w:p>
    <w:p w14:paraId="22259340" w14:textId="053273EF" w:rsidR="00611489" w:rsidRDefault="00A2359C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Decay_Class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: A number from 1-5 identifying the decay class of the wood.</w:t>
      </w:r>
      <w:r w:rsidR="00611489" w:rsidRPr="0061148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3AB3606B" w14:textId="3AF793B4" w:rsidR="00611489" w:rsidRDefault="00611489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dens_g_cm3: The wood density in g cm</w:t>
      </w:r>
      <w:r w:rsidRPr="00611489">
        <w:rPr>
          <w:rStyle w:val="Strong"/>
          <w:rFonts w:ascii="Times New Roman" w:hAnsi="Times New Roman" w:cs="Times New Roman"/>
          <w:b w:val="0"/>
          <w:sz w:val="24"/>
          <w:szCs w:val="24"/>
          <w:vertAlign w:val="superscript"/>
        </w:rPr>
        <w:t>-3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14:paraId="46EA4086" w14:textId="3DC935DB" w:rsidR="00611489" w:rsidRPr="00611489" w:rsidRDefault="00611489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Citation: The citation for the wood density value – either Harmon and Sexton (1996) or Harmon et al. (2008).</w:t>
      </w:r>
    </w:p>
    <w:p w14:paraId="660DD2D3" w14:textId="3B5DD620" w:rsidR="000947F6" w:rsidRDefault="000947F6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14:paraId="7837AB25" w14:textId="793C39AA" w:rsidR="00E4556E" w:rsidRDefault="00E4556E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File </w:t>
      </w:r>
      <w:r w:rsidR="00D13839">
        <w:rPr>
          <w:rStyle w:val="Strong"/>
          <w:rFonts w:ascii="Times New Roman" w:hAnsi="Times New Roman" w:cs="Times New Roman"/>
          <w:b w:val="0"/>
          <w:sz w:val="24"/>
          <w:szCs w:val="24"/>
        </w:rPr>
        <w:t>Cansler_et_al_YFDP_2011_CWD</w:t>
      </w:r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_DWD_input</w:t>
      </w:r>
      <w:r w:rsidR="00D13839">
        <w:rPr>
          <w:rStyle w:val="Strong"/>
          <w:rFonts w:ascii="Times New Roman" w:hAnsi="Times New Roman" w:cs="Times New Roman"/>
          <w:b w:val="0"/>
          <w:sz w:val="24"/>
          <w:szCs w:val="24"/>
        </w:rPr>
        <w:t>.xlsx</w:t>
      </w:r>
    </w:p>
    <w:p w14:paraId="717001F9" w14:textId="7307A0B0" w:rsidR="001D6DCF" w:rsidRDefault="001D6DCF" w:rsidP="001D6DCF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File Cansler_et_al_YFDP_2014_CWD</w:t>
      </w:r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_DWD_input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.xlsx</w:t>
      </w:r>
    </w:p>
    <w:p w14:paraId="7108A0FE" w14:textId="14B4AE4C" w:rsidR="001D6DCF" w:rsidRDefault="001D6DCF" w:rsidP="001D6DCF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</w:t>
      </w:r>
      <w:r w:rsidR="005418B2">
        <w:rPr>
          <w:rStyle w:val="Strong"/>
          <w:rFonts w:ascii="Times New Roman" w:hAnsi="Times New Roman" w:cs="Times New Roman"/>
          <w:b w:val="0"/>
          <w:sz w:val="24"/>
          <w:szCs w:val="24"/>
        </w:rPr>
        <w:t>hese t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wo files with identical field definitions compar</w:t>
      </w:r>
      <w:r w:rsidR="005418B2">
        <w:rPr>
          <w:rStyle w:val="Strong"/>
          <w:rFonts w:ascii="Times New Roman" w:hAnsi="Times New Roman" w:cs="Times New Roman"/>
          <w:b w:val="0"/>
          <w:sz w:val="24"/>
          <w:szCs w:val="24"/>
        </w:rPr>
        <w:t>e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the pre-fire (2011) tally of coarse woody debris (CWD) with the post-fire (2014) tally. The two files have identical field definitions. </w:t>
      </w:r>
    </w:p>
    <w:p w14:paraId="6FD94D48" w14:textId="77777777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Year: the year</w:t>
      </w:r>
    </w:p>
    <w:p w14:paraId="56812994" w14:textId="5C9233C7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Start: The grid marker used as the starting reference for the 20 m transect.</w:t>
      </w:r>
    </w:p>
    <w:p w14:paraId="3424FB97" w14:textId="09D4AE1E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Finish: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The grid marker used as the ending reference for the 20 m transect.</w:t>
      </w:r>
    </w:p>
    <w:p w14:paraId="3F287BB5" w14:textId="274A2CE3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Transect: The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transect </w:t>
      </w:r>
      <w:proofErr w:type="spellStart"/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segement</w:t>
      </w:r>
      <w:proofErr w:type="spellEnd"/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between the two indicated reference points.</w:t>
      </w:r>
    </w:p>
    <w:p w14:paraId="101818F8" w14:textId="4F940765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i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Spp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: The four letter species code (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ABCO: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Abies concolor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CADE: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Calocedrus decurrens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PILA: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Pinus lambertiana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QUKE: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Quercus kelloggii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PSME: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Pseudotsuga menziesii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; CONU: </w:t>
      </w:r>
      <w:r w:rsidRPr="004D7C20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Cornus nuttallii</w:t>
      </w:r>
      <w:r w:rsidRP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; UNKN: Unknown)</w:t>
      </w:r>
    </w:p>
    <w:p w14:paraId="5BDEE9B4" w14:textId="3B84E888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Dc: Decay class</w:t>
      </w:r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(1-5)</w:t>
      </w:r>
    </w:p>
    <w:p w14:paraId="5EC20DD4" w14:textId="74D988DD" w:rsidR="001D6DCF" w:rsidRDefault="001D6DCF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Dia.calc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: circular diameter equivalent, in cm.</w:t>
      </w:r>
    </w:p>
    <w:p w14:paraId="18333C0E" w14:textId="77777777" w:rsidR="002B4B5E" w:rsidRDefault="002B4B5E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Dia.raw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and Dia2.raw: Orthogonal measurements of wood cross section used to calculate the equivalent diameter.</w:t>
      </w:r>
    </w:p>
    <w:p w14:paraId="54BF382A" w14:textId="77777777" w:rsidR="002B4B5E" w:rsidRDefault="002B4B5E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Char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: Char either present or not.</w:t>
      </w:r>
    </w:p>
    <w:p w14:paraId="22A6013C" w14:textId="77777777" w:rsidR="002B4B5E" w:rsidRDefault="002B4B5E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Pre: Indication whether the wood was on the ground pre-fire (pre) or fell post-fire (post)</w:t>
      </w:r>
    </w:p>
    <w:p w14:paraId="315A2B2A" w14:textId="77777777" w:rsidR="002B4B5E" w:rsidRDefault="002B4B5E" w:rsidP="00F2643F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14:paraId="14C726CD" w14:textId="48D0F3E0" w:rsidR="00D13839" w:rsidRDefault="00D13839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lastRenderedPageBreak/>
        <w:t>File Cansler_et_al_YFDP_2011_LitterDuff</w:t>
      </w:r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_input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.xlsx</w:t>
      </w:r>
    </w:p>
    <w:p w14:paraId="39BF0612" w14:textId="1EC45ED9" w:rsidR="00D13839" w:rsidRDefault="00D13839" w:rsidP="00D40792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File Cansler_et_al_YFDP_2014_LitterDuff</w:t>
      </w:r>
      <w:r w:rsidR="002B4B5E">
        <w:rPr>
          <w:rStyle w:val="Strong"/>
          <w:rFonts w:ascii="Times New Roman" w:hAnsi="Times New Roman" w:cs="Times New Roman"/>
          <w:b w:val="0"/>
          <w:sz w:val="24"/>
          <w:szCs w:val="24"/>
        </w:rPr>
        <w:t>_input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.xlsx</w:t>
      </w:r>
    </w:p>
    <w:p w14:paraId="7F75EC2F" w14:textId="1EED175E" w:rsidR="005418B2" w:rsidRDefault="00D13839" w:rsidP="00D13839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Two files with identical field definitions comparing the pre-fire (2011) tally of litter and duff (CWD) with the post-fire (2014) tally.</w:t>
      </w:r>
    </w:p>
    <w:p w14:paraId="6C307941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Year: the year</w:t>
      </w:r>
    </w:p>
    <w:p w14:paraId="1AA8B1EB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Start: The grid marker used as the starting reference for the 20 m transect.</w:t>
      </w:r>
    </w:p>
    <w:p w14:paraId="54BE4F39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Finish: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The grid marker used as the ending reference for the 20 m transect.</w:t>
      </w:r>
    </w:p>
    <w:p w14:paraId="23F22928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Transect: The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transect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segement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between the two indicated reference points.</w:t>
      </w:r>
    </w:p>
    <w:p w14:paraId="08A63AF5" w14:textId="5974DF23" w:rsidR="002B4B5E" w:rsidRDefault="002B4B5E" w:rsidP="00D13839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Compass: direction of transect if transect was offset from the pin-to-pin line.</w:t>
      </w:r>
    </w:p>
    <w:p w14:paraId="0FB93824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Hr1, Hr10, Hr100,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Hr1000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: The tally of wood meeting the 1-hour, 10-hour, 100-hour, and 1000-hour fuel descriptions from Brown (1974). </w:t>
      </w:r>
    </w:p>
    <w:p w14:paraId="4FAB8323" w14:textId="7889FCF9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Litter and duff were measured </w:t>
      </w:r>
      <w:proofErr w:type="spellStart"/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a</w:t>
      </w:r>
      <w:proofErr w:type="spellEnd"/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odd-number meter intervals along the transect (1, 3, 5, 7, 9, 11, 13, 15, 17, and 19 m). Depth for either litter or duff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is measured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at each location, in cm. </w:t>
      </w:r>
    </w:p>
    <w:p w14:paraId="60BAC3C8" w14:textId="77F5BC13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14:paraId="28D0F9A0" w14:textId="77777777" w:rsidR="002B4B5E" w:rsidRDefault="002B4B5E" w:rsidP="002B4B5E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File Cansler_et_al_YFDP_Fuels_to_Mass_Full.csv</w:t>
      </w:r>
    </w:p>
    <w:p w14:paraId="7405351B" w14:textId="77777777" w:rsidR="002B4B5E" w:rsidRDefault="002B4B5E" w:rsidP="002B4B5E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File Cansler_et_al_YFDP_Fuels_to_Mass_Paired.csv</w:t>
      </w:r>
    </w:p>
    <w:p w14:paraId="06D33FAD" w14:textId="77777777" w:rsidR="002B4B5E" w:rsidRDefault="002B4B5E" w:rsidP="002B4B5E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These two files with identical field definitions compare the pre-fire and post-fire fuel loading in each fuel strata. The file Cansler_et_al_Fuels_to_Mass_Full.csv contains all the data, and the file Cansler_et_al_Fuels_to_Mass_Paired.csv contains the data that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was used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for the pre-fire to post-fire spatial comparisons.</w:t>
      </w:r>
    </w:p>
    <w:p w14:paraId="713E94DB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Point: Unique identifier for the sampling point.</w:t>
      </w:r>
    </w:p>
    <w:p w14:paraId="08E17A91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Year: Year</w:t>
      </w:r>
    </w:p>
    <w:p w14:paraId="4D27BA75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Start: The grid marker used as the starting reference for the 20 m transect.</w:t>
      </w:r>
    </w:p>
    <w:p w14:paraId="0828F3AC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Finish: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The grid marker used as the ending reference for the 20 m transect.</w:t>
      </w:r>
    </w:p>
    <w:p w14:paraId="2618C6CE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Time: either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prefire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or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postfire</w:t>
      </w:r>
      <w:proofErr w:type="spellEnd"/>
    </w:p>
    <w:p w14:paraId="1F8FA4F4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Fuel: The strata of fuel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being measured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14:paraId="64B7EF7E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Depth_cm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: the depth of the strata </w:t>
      </w: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being measured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14:paraId="7F6BA038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Mgperha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: The surface fuel loading of the point converted to an aerial amount. </w:t>
      </w:r>
    </w:p>
    <w:p w14:paraId="5EEE7050" w14:textId="77777777" w:rsidR="002B4B5E" w:rsidRDefault="002B4B5E" w:rsidP="002B4B5E">
      <w:pPr>
        <w:spacing w:after="0" w:line="240" w:lineRule="auto"/>
        <w:ind w:left="720" w:hanging="72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Count: the number of pieces of a given category</w:t>
      </w:r>
    </w:p>
    <w:p w14:paraId="7C57A385" w14:textId="77777777" w:rsidR="002B4B5E" w:rsidRDefault="002B4B5E" w:rsidP="002B4B5E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14:paraId="623B160F" w14:textId="77777777" w:rsidR="00803C4C" w:rsidRPr="00803C4C" w:rsidRDefault="00803C4C" w:rsidP="00803C4C">
      <w:pPr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</w:rPr>
      </w:pPr>
      <w:r w:rsidRPr="00803C4C">
        <w:rPr>
          <w:rStyle w:val="Strong"/>
          <w:rFonts w:ascii="Times New Roman" w:hAnsi="Times New Roman" w:cs="Times New Roman"/>
          <w:sz w:val="24"/>
          <w:szCs w:val="24"/>
        </w:rPr>
        <w:t>Literature cited</w:t>
      </w:r>
    </w:p>
    <w:p w14:paraId="3574D6C8" w14:textId="6C010A66" w:rsidR="00AD2B16" w:rsidRDefault="00AD2B16" w:rsidP="0050381A">
      <w:pPr>
        <w:spacing w:line="240" w:lineRule="auto"/>
        <w:ind w:left="288" w:hanging="288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Brown, J. K. 1974. Handbook for inventorying downed woody material. USDA Forest Service General Technical Report GTR-INT-16. Ogden, Utah. </w:t>
      </w:r>
    </w:p>
    <w:p w14:paraId="5C10D6B5" w14:textId="39AC38B2" w:rsidR="0050381A" w:rsidRPr="00AD2B16" w:rsidRDefault="00AD2B16" w:rsidP="0050381A">
      <w:pPr>
        <w:spacing w:line="240" w:lineRule="auto"/>
        <w:ind w:left="288" w:hanging="288"/>
        <w:rPr>
          <w:rStyle w:val="Strong"/>
          <w:rFonts w:ascii="Times New Roman" w:hAnsi="Times New Roman" w:cs="Times New Roman"/>
          <w:b w:val="0"/>
          <w:i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Cansler, C. A., M. E. Swanson, T. J. Furnis</w:t>
      </w:r>
      <w:r w:rsidR="00405257">
        <w:rPr>
          <w:rStyle w:val="Strong"/>
          <w:rFonts w:ascii="Times New Roman" w:hAnsi="Times New Roman" w:cs="Times New Roman"/>
          <w:b w:val="0"/>
          <w:sz w:val="24"/>
          <w:szCs w:val="24"/>
        </w:rPr>
        <w:t>s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8B3771">
        <w:rPr>
          <w:rStyle w:val="Strong"/>
          <w:rFonts w:ascii="Times New Roman" w:hAnsi="Times New Roman" w:cs="Times New Roman"/>
          <w:b w:val="0"/>
          <w:sz w:val="24"/>
          <w:szCs w:val="24"/>
        </w:rPr>
        <w:t>A. J. Larson, and J. A. Lutz. 2019.</w:t>
      </w:r>
      <w:bookmarkStart w:id="0" w:name="_GoBack"/>
      <w:bookmarkEnd w:id="0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Effects of reintroduced fire on surface fuels in a Sierra Nevada mixed-conifer forest. </w:t>
      </w:r>
      <w:r w:rsidRPr="00AD2B16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Fire Ecology.</w:t>
      </w:r>
      <w:r w:rsidR="0050381A" w:rsidRPr="00AD2B16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14:paraId="06A6641D" w14:textId="54A76664" w:rsidR="00AD2B16" w:rsidRDefault="00AD2B16" w:rsidP="00803C4C">
      <w:pPr>
        <w:spacing w:line="240" w:lineRule="auto"/>
        <w:ind w:left="288"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Harmon, M. E., and J. Sexton. 1996. Guidelines for measurement of woody detritus in forest ecosystems. Publication No. 20</w:t>
      </w:r>
      <w:r w:rsidR="000947F6">
        <w:rPr>
          <w:rFonts w:ascii="Times New Roman" w:hAnsi="Times New Roman" w:cs="Times New Roman"/>
          <w:sz w:val="24"/>
          <w:szCs w:val="24"/>
        </w:rPr>
        <w:t>. LTER Network Office, University of Washington, Seattle, Washington.</w:t>
      </w:r>
    </w:p>
    <w:p w14:paraId="719CCD6D" w14:textId="132ED4CC" w:rsidR="00AD2B16" w:rsidRDefault="00AD2B16" w:rsidP="00803C4C">
      <w:pPr>
        <w:spacing w:line="240" w:lineRule="auto"/>
        <w:ind w:left="288"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Harmon, M. E., C. W. Woodall, B. Fasth, and J. Sexton. 2008. Woody detritus density and density reduction factors for tree species in the United States: A synthesis. USDA Forest Service General Technical Report GTR-NRS-29. Newton Square, Pennsylvania. </w:t>
      </w:r>
    </w:p>
    <w:p w14:paraId="26ED8E0B" w14:textId="3A250F22" w:rsidR="00136821" w:rsidRPr="00B40857" w:rsidRDefault="00AD2B16" w:rsidP="002B4B5E">
      <w:pPr>
        <w:spacing w:line="240" w:lineRule="auto"/>
        <w:ind w:left="288"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Lutz, J. A., A. J. Larson, M. E. Swanson, and J. A. Fre</w:t>
      </w:r>
      <w:r w:rsidR="0040525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nd. 2012. Ecological importance of large-diameter trees in a temperate mixed-conifer forest. </w:t>
      </w:r>
      <w:r w:rsidRPr="00AD2B16">
        <w:rPr>
          <w:rFonts w:ascii="Times New Roman" w:hAnsi="Times New Roman" w:cs="Times New Roman"/>
          <w:i/>
          <w:sz w:val="24"/>
          <w:szCs w:val="24"/>
        </w:rPr>
        <w:t>PLoS One</w:t>
      </w:r>
      <w:r>
        <w:rPr>
          <w:rFonts w:ascii="Times New Roman" w:hAnsi="Times New Roman" w:cs="Times New Roman"/>
          <w:sz w:val="24"/>
          <w:szCs w:val="24"/>
        </w:rPr>
        <w:t xml:space="preserve"> 7:e36131 doi: 10.1371/journal.pone.0036131</w:t>
      </w:r>
    </w:p>
    <w:sectPr w:rsidR="00136821" w:rsidRPr="00B40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6D"/>
    <w:rsid w:val="00027B81"/>
    <w:rsid w:val="000947F6"/>
    <w:rsid w:val="000E5218"/>
    <w:rsid w:val="00136821"/>
    <w:rsid w:val="001C019A"/>
    <w:rsid w:val="001C6D0E"/>
    <w:rsid w:val="001D6DCF"/>
    <w:rsid w:val="001F079E"/>
    <w:rsid w:val="002574BE"/>
    <w:rsid w:val="002B4B5E"/>
    <w:rsid w:val="002D0C36"/>
    <w:rsid w:val="002F21F8"/>
    <w:rsid w:val="00372DEF"/>
    <w:rsid w:val="003F2F9D"/>
    <w:rsid w:val="00405257"/>
    <w:rsid w:val="00443CBF"/>
    <w:rsid w:val="004D065D"/>
    <w:rsid w:val="004D7C20"/>
    <w:rsid w:val="004E39AC"/>
    <w:rsid w:val="0050381A"/>
    <w:rsid w:val="00517C6D"/>
    <w:rsid w:val="005418B2"/>
    <w:rsid w:val="005F42FD"/>
    <w:rsid w:val="00611489"/>
    <w:rsid w:val="0066445D"/>
    <w:rsid w:val="007446C1"/>
    <w:rsid w:val="00752459"/>
    <w:rsid w:val="007B146D"/>
    <w:rsid w:val="00803C4C"/>
    <w:rsid w:val="00844593"/>
    <w:rsid w:val="008B1FDF"/>
    <w:rsid w:val="008B3771"/>
    <w:rsid w:val="00A2359C"/>
    <w:rsid w:val="00A31E6E"/>
    <w:rsid w:val="00AB1CC2"/>
    <w:rsid w:val="00AD2B16"/>
    <w:rsid w:val="00AD4C20"/>
    <w:rsid w:val="00B25D81"/>
    <w:rsid w:val="00B40857"/>
    <w:rsid w:val="00B61C30"/>
    <w:rsid w:val="00BA1CB9"/>
    <w:rsid w:val="00C72CB2"/>
    <w:rsid w:val="00D13839"/>
    <w:rsid w:val="00D40792"/>
    <w:rsid w:val="00E4556E"/>
    <w:rsid w:val="00E542F8"/>
    <w:rsid w:val="00EB0CB5"/>
    <w:rsid w:val="00F06BF6"/>
    <w:rsid w:val="00F2643F"/>
    <w:rsid w:val="00F3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8EFB"/>
  <w15:chartTrackingRefBased/>
  <w15:docId w15:val="{B25ED826-466F-4497-A8CF-BAA0A921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06BF6"/>
    <w:rPr>
      <w:b/>
      <w:bCs/>
    </w:rPr>
  </w:style>
  <w:style w:type="character" w:styleId="Emphasis">
    <w:name w:val="Emphasis"/>
    <w:basedOn w:val="DefaultParagraphFont"/>
    <w:uiPriority w:val="20"/>
    <w:qFormat/>
    <w:rsid w:val="00F06BF6"/>
    <w:rPr>
      <w:i/>
      <w:iCs/>
    </w:rPr>
  </w:style>
  <w:style w:type="character" w:styleId="Hyperlink">
    <w:name w:val="Hyperlink"/>
    <w:basedOn w:val="DefaultParagraphFont"/>
    <w:uiPriority w:val="99"/>
    <w:unhideWhenUsed/>
    <w:rsid w:val="00F06BF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D0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6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6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5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E39AC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Lutz</dc:creator>
  <cp:keywords/>
  <dc:description/>
  <cp:lastModifiedBy>AssociateEditor</cp:lastModifiedBy>
  <cp:revision>4</cp:revision>
  <dcterms:created xsi:type="dcterms:W3CDTF">2018-11-02T17:49:00Z</dcterms:created>
  <dcterms:modified xsi:type="dcterms:W3CDTF">2018-11-27T19:45:00Z</dcterms:modified>
</cp:coreProperties>
</file>