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1DE8005A" w14:textId="77777777" w:rsidR="00F8732D" w:rsidRPr="00F163FD" w:rsidRDefault="00F8732D" w:rsidP="00F8732D">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77777777" w:rsidR="007C30D6" w:rsidRPr="00F163FD" w:rsidRDefault="007C30D6">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506F6F78" w:rsidR="00565B26" w:rsidRPr="00565B26" w:rsidRDefault="00AC0186" w:rsidP="00565B26">
      <w:pPr>
        <w:rPr>
          <w:rFonts w:ascii="Times New Roman" w:eastAsia="Times New Roman" w:hAnsi="Times New Roman" w:cs="Times New Roman"/>
          <w:color w:val="000000"/>
        </w:rPr>
      </w:pPr>
      <w:r w:rsidRPr="00C225D6">
        <w:rPr>
          <w:rFonts w:ascii="Times New Roman" w:eastAsia="Times New Roman" w:hAnsi="Times New Roman" w:cs="Times New Roman"/>
          <w:color w:val="000000"/>
          <w:lang w:bidi="en-US"/>
        </w:rPr>
        <w:t>Consumption of the total Western diet promotes colitis and inflammation-associated colorectal cancer in mice</w:t>
      </w:r>
      <w:r w:rsidRPr="00F163FD">
        <w:rPr>
          <w:rFonts w:ascii="Times New Roman" w:eastAsia="Times New Roman" w:hAnsi="Times New Roman" w:cs="Times New Roman"/>
          <w:color w:val="000000"/>
        </w:rPr>
        <w:t xml:space="preserve">.  </w:t>
      </w:r>
      <w:r w:rsidR="00565B26" w:rsidRPr="00F163FD">
        <w:rPr>
          <w:rFonts w:ascii="Times New Roman" w:eastAsia="Times New Roman" w:hAnsi="Times New Roman" w:cs="Times New Roman"/>
          <w:color w:val="000000"/>
        </w:rPr>
        <w:t xml:space="preserve">Supplementary File </w:t>
      </w:r>
      <w:r w:rsidR="0009011F">
        <w:rPr>
          <w:rFonts w:ascii="Times New Roman" w:eastAsia="Times New Roman" w:hAnsi="Times New Roman" w:cs="Times New Roman"/>
          <w:color w:val="000000"/>
        </w:rPr>
        <w:t>2</w:t>
      </w:r>
      <w:r w:rsidR="00565B26" w:rsidRPr="00F163FD">
        <w:rPr>
          <w:rFonts w:ascii="Times New Roman" w:eastAsia="Times New Roman" w:hAnsi="Times New Roman" w:cs="Times New Roman"/>
          <w:color w:val="000000"/>
        </w:rPr>
        <w:t xml:space="preserve"> – </w:t>
      </w:r>
      <w:proofErr w:type="spellStart"/>
      <w:r w:rsidR="0009011F">
        <w:rPr>
          <w:rFonts w:ascii="Times New Roman" w:eastAsia="Times New Roman" w:hAnsi="Times New Roman" w:cs="Times New Roman"/>
          <w:color w:val="000000"/>
        </w:rPr>
        <w:t>nSolver</w:t>
      </w:r>
      <w:proofErr w:type="spellEnd"/>
      <w:r w:rsidR="0009011F">
        <w:rPr>
          <w:rFonts w:ascii="Times New Roman" w:eastAsia="Times New Roman" w:hAnsi="Times New Roman" w:cs="Times New Roman"/>
          <w:color w:val="000000"/>
        </w:rPr>
        <w:t xml:space="preserve"> differential expression analysis results</w:t>
      </w:r>
      <w:r w:rsidR="00565B26" w:rsidRPr="00F163FD">
        <w:rPr>
          <w:rFonts w:ascii="Times New Roman" w:eastAsia="Times New Roman" w:hAnsi="Times New Roman" w:cs="Times New Roman"/>
          <w:color w:val="000000"/>
        </w:rPr>
        <w:t xml:space="preserve">. </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7B8D1638" w14:textId="16DDA0DB" w:rsidR="007C30D6" w:rsidRPr="00F163FD" w:rsidRDefault="0009011F">
      <w:pPr>
        <w:rPr>
          <w:rFonts w:ascii="Times New Roman" w:hAnsi="Times New Roman" w:cs="Times New Roman"/>
        </w:rPr>
      </w:pPr>
      <w:r>
        <w:rPr>
          <w:rFonts w:ascii="Times New Roman" w:hAnsi="Times New Roman" w:cs="Times New Roman"/>
        </w:rPr>
        <w:t xml:space="preserve">Microsoft Excel document with output from </w:t>
      </w:r>
      <w:proofErr w:type="spellStart"/>
      <w:r>
        <w:rPr>
          <w:rFonts w:ascii="Times New Roman" w:hAnsi="Times New Roman" w:cs="Times New Roman"/>
        </w:rPr>
        <w:t>nSolver</w:t>
      </w:r>
      <w:proofErr w:type="spellEnd"/>
      <w:r>
        <w:rPr>
          <w:rFonts w:ascii="Times New Roman" w:hAnsi="Times New Roman" w:cs="Times New Roman"/>
        </w:rPr>
        <w:t xml:space="preserve"> for differential expression analyses for pairwise comparisons noted </w:t>
      </w:r>
      <w:r w:rsidR="00D75027">
        <w:rPr>
          <w:rFonts w:ascii="Times New Roman" w:hAnsi="Times New Roman" w:cs="Times New Roman"/>
        </w:rPr>
        <w:t>by each named sheet</w:t>
      </w:r>
      <w:r w:rsidR="009B43D3" w:rsidRPr="00F163FD">
        <w:rPr>
          <w:rFonts w:ascii="Times New Roman" w:hAnsi="Times New Roman" w:cs="Times New Roman"/>
        </w:rPr>
        <w:t xml:space="preserve">.  </w:t>
      </w:r>
      <w:r w:rsidR="00B129A6">
        <w:rPr>
          <w:rFonts w:ascii="Times New Roman" w:hAnsi="Times New Roman" w:cs="Times New Roman"/>
        </w:rPr>
        <w:t>This data set is supporting material for a journal article</w:t>
      </w:r>
      <w:r w:rsidR="00BE0236">
        <w:rPr>
          <w:rFonts w:ascii="Times New Roman" w:hAnsi="Times New Roman" w:cs="Times New Roman"/>
        </w:rPr>
        <w:t>.</w:t>
      </w:r>
    </w:p>
    <w:p w14:paraId="6E9A6A90" w14:textId="77777777" w:rsidR="007C30D6" w:rsidRPr="00F163FD" w:rsidRDefault="007C30D6">
      <w:pPr>
        <w:rPr>
          <w:rFonts w:ascii="Times New Roman" w:hAnsi="Times New Roman" w:cs="Times New Roman"/>
          <w:b/>
        </w:rPr>
      </w:pPr>
    </w:p>
    <w:p w14:paraId="34F6F8D8" w14:textId="77777777" w:rsidR="00A07DE5" w:rsidRPr="00F163FD"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7D5B084A" w14:textId="77777777" w:rsidR="00D75027" w:rsidRDefault="00D75027">
      <w:pPr>
        <w:rPr>
          <w:rFonts w:ascii="Times New Roman" w:hAnsi="Times New Roman" w:cs="Times New Roman"/>
        </w:rPr>
      </w:pPr>
    </w:p>
    <w:p w14:paraId="3865311A" w14:textId="7EE2B437" w:rsidR="0009011F" w:rsidRDefault="0009011F">
      <w:pPr>
        <w:rPr>
          <w:rFonts w:ascii="Times New Roman" w:hAnsi="Times New Roman" w:cs="Times New Roman"/>
        </w:rPr>
      </w:pPr>
    </w:p>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5580"/>
      </w:tblGrid>
      <w:tr w:rsidR="00B64BC3" w:rsidRPr="00B64BC3" w14:paraId="29D85469" w14:textId="77777777" w:rsidTr="00B64BC3">
        <w:tc>
          <w:tcPr>
            <w:tcW w:w="8820" w:type="dxa"/>
            <w:gridSpan w:val="2"/>
            <w:tcBorders>
              <w:bottom w:val="single" w:sz="4" w:space="0" w:color="auto"/>
            </w:tcBorders>
          </w:tcPr>
          <w:p w14:paraId="14C377D1" w14:textId="38FDBB49" w:rsidR="00D75027" w:rsidRPr="00B64BC3" w:rsidRDefault="00F37A8E">
            <w:pPr>
              <w:rPr>
                <w:rFonts w:ascii="Times New Roman" w:hAnsi="Times New Roman" w:cs="Times New Roman"/>
                <w:b/>
              </w:rPr>
            </w:pPr>
            <w:r>
              <w:rPr>
                <w:rFonts w:ascii="Times New Roman" w:hAnsi="Times New Roman" w:cs="Times New Roman"/>
                <w:b/>
              </w:rPr>
              <w:t>Supplementary file 2 column definitions</w:t>
            </w:r>
            <w:r w:rsidR="00D75027" w:rsidRPr="00B64BC3">
              <w:rPr>
                <w:rFonts w:ascii="Times New Roman" w:hAnsi="Times New Roman" w:cs="Times New Roman"/>
                <w:b/>
              </w:rPr>
              <w:t>.</w:t>
            </w:r>
          </w:p>
        </w:tc>
      </w:tr>
      <w:tr w:rsidR="00B64BC3" w14:paraId="73339BBF" w14:textId="77777777" w:rsidTr="00B64BC3">
        <w:tc>
          <w:tcPr>
            <w:tcW w:w="3240" w:type="dxa"/>
            <w:tcBorders>
              <w:top w:val="single" w:sz="4" w:space="0" w:color="auto"/>
            </w:tcBorders>
          </w:tcPr>
          <w:p w14:paraId="6B2AFE8F" w14:textId="2C45CCA6" w:rsidR="00D75027" w:rsidRDefault="00D75027">
            <w:pPr>
              <w:rPr>
                <w:rFonts w:ascii="Times New Roman" w:hAnsi="Times New Roman" w:cs="Times New Roman"/>
              </w:rPr>
            </w:pPr>
            <w:r>
              <w:rPr>
                <w:rFonts w:ascii="Times New Roman" w:hAnsi="Times New Roman" w:cs="Times New Roman"/>
              </w:rPr>
              <w:t>Gene symbol</w:t>
            </w:r>
          </w:p>
        </w:tc>
        <w:tc>
          <w:tcPr>
            <w:tcW w:w="5580" w:type="dxa"/>
            <w:tcBorders>
              <w:top w:val="single" w:sz="4" w:space="0" w:color="auto"/>
            </w:tcBorders>
          </w:tcPr>
          <w:p w14:paraId="6B74998D" w14:textId="2DD9FB26" w:rsidR="00D75027" w:rsidRPr="00D75027" w:rsidRDefault="00D75027">
            <w:pPr>
              <w:rPr>
                <w:rFonts w:ascii="Times New Roman" w:hAnsi="Times New Roman" w:cs="Times New Roman"/>
                <w:i/>
              </w:rPr>
            </w:pPr>
            <w:r>
              <w:rPr>
                <w:rFonts w:ascii="Times New Roman" w:hAnsi="Times New Roman" w:cs="Times New Roman"/>
              </w:rPr>
              <w:t xml:space="preserve">Official gene symbol for </w:t>
            </w:r>
            <w:r>
              <w:rPr>
                <w:rFonts w:ascii="Times New Roman" w:hAnsi="Times New Roman" w:cs="Times New Roman"/>
                <w:i/>
              </w:rPr>
              <w:t>Mus musculus</w:t>
            </w:r>
          </w:p>
        </w:tc>
      </w:tr>
      <w:tr w:rsidR="00B64BC3" w14:paraId="4CB5B54E" w14:textId="77777777" w:rsidTr="00B64BC3">
        <w:tc>
          <w:tcPr>
            <w:tcW w:w="3240" w:type="dxa"/>
          </w:tcPr>
          <w:p w14:paraId="1DEAF363" w14:textId="03B9E439" w:rsidR="00D75027" w:rsidRDefault="00D75027">
            <w:pPr>
              <w:rPr>
                <w:rFonts w:ascii="Times New Roman" w:hAnsi="Times New Roman" w:cs="Times New Roman"/>
              </w:rPr>
            </w:pPr>
            <w:r>
              <w:rPr>
                <w:rFonts w:ascii="Times New Roman" w:hAnsi="Times New Roman" w:cs="Times New Roman"/>
              </w:rPr>
              <w:t>Log2 fold change</w:t>
            </w:r>
          </w:p>
        </w:tc>
        <w:tc>
          <w:tcPr>
            <w:tcW w:w="5580" w:type="dxa"/>
          </w:tcPr>
          <w:p w14:paraId="5987E053" w14:textId="2800C2EE" w:rsidR="00D75027" w:rsidRDefault="00D75027">
            <w:pPr>
              <w:rPr>
                <w:rFonts w:ascii="Times New Roman" w:hAnsi="Times New Roman" w:cs="Times New Roman"/>
              </w:rPr>
            </w:pPr>
            <w:r>
              <w:rPr>
                <w:rFonts w:ascii="Times New Roman" w:hAnsi="Times New Roman" w:cs="Times New Roman"/>
              </w:rPr>
              <w:t>Average log</w:t>
            </w:r>
            <w:r w:rsidRPr="00D75027">
              <w:rPr>
                <w:rFonts w:ascii="Times New Roman" w:hAnsi="Times New Roman" w:cs="Times New Roman"/>
                <w:vertAlign w:val="subscript"/>
              </w:rPr>
              <w:t>2</w:t>
            </w:r>
            <w:r>
              <w:rPr>
                <w:rFonts w:ascii="Times New Roman" w:hAnsi="Times New Roman" w:cs="Times New Roman"/>
              </w:rPr>
              <w:t xml:space="preserve"> fold change calculated for comparison indicated by name of spreadsheet tab</w:t>
            </w:r>
          </w:p>
        </w:tc>
      </w:tr>
      <w:tr w:rsidR="00B64BC3" w14:paraId="38E54C2E" w14:textId="77777777" w:rsidTr="00B64BC3">
        <w:tc>
          <w:tcPr>
            <w:tcW w:w="3240" w:type="dxa"/>
          </w:tcPr>
          <w:p w14:paraId="71F9536A" w14:textId="56556C3C" w:rsidR="00D75027" w:rsidRDefault="00D75027">
            <w:pPr>
              <w:rPr>
                <w:rFonts w:ascii="Times New Roman" w:hAnsi="Times New Roman" w:cs="Times New Roman"/>
              </w:rPr>
            </w:pPr>
            <w:r>
              <w:rPr>
                <w:rFonts w:ascii="Times New Roman" w:hAnsi="Times New Roman" w:cs="Times New Roman"/>
              </w:rPr>
              <w:t>std error (log2)</w:t>
            </w:r>
          </w:p>
        </w:tc>
        <w:tc>
          <w:tcPr>
            <w:tcW w:w="5580" w:type="dxa"/>
          </w:tcPr>
          <w:p w14:paraId="050200CC" w14:textId="5418699C" w:rsidR="00D75027" w:rsidRDefault="00D75027">
            <w:pPr>
              <w:rPr>
                <w:rFonts w:ascii="Times New Roman" w:hAnsi="Times New Roman" w:cs="Times New Roman"/>
              </w:rPr>
            </w:pPr>
            <w:r>
              <w:rPr>
                <w:rFonts w:ascii="Times New Roman" w:hAnsi="Times New Roman" w:cs="Times New Roman"/>
              </w:rPr>
              <w:t>Log</w:t>
            </w:r>
            <w:r w:rsidRPr="00D75027">
              <w:rPr>
                <w:rFonts w:ascii="Times New Roman" w:hAnsi="Times New Roman" w:cs="Times New Roman"/>
                <w:vertAlign w:val="subscript"/>
              </w:rPr>
              <w:t>2</w:t>
            </w:r>
            <w:r>
              <w:rPr>
                <w:rFonts w:ascii="Times New Roman" w:hAnsi="Times New Roman" w:cs="Times New Roman"/>
              </w:rPr>
              <w:t xml:space="preserve"> standard error of the calculated average log</w:t>
            </w:r>
            <w:r>
              <w:rPr>
                <w:rFonts w:ascii="Times New Roman" w:hAnsi="Times New Roman" w:cs="Times New Roman"/>
                <w:vertAlign w:val="subscript"/>
              </w:rPr>
              <w:t>2</w:t>
            </w:r>
            <w:r>
              <w:rPr>
                <w:rFonts w:ascii="Times New Roman" w:hAnsi="Times New Roman" w:cs="Times New Roman"/>
              </w:rPr>
              <w:t xml:space="preserve"> fold change</w:t>
            </w:r>
          </w:p>
        </w:tc>
      </w:tr>
      <w:tr w:rsidR="00B64BC3" w14:paraId="15E25960" w14:textId="77777777" w:rsidTr="00B64BC3">
        <w:tc>
          <w:tcPr>
            <w:tcW w:w="3240" w:type="dxa"/>
          </w:tcPr>
          <w:p w14:paraId="4FA851C8" w14:textId="1CA991E1" w:rsidR="00D75027" w:rsidRDefault="00D75027">
            <w:pPr>
              <w:rPr>
                <w:rFonts w:ascii="Times New Roman" w:hAnsi="Times New Roman" w:cs="Times New Roman"/>
              </w:rPr>
            </w:pPr>
            <w:r>
              <w:rPr>
                <w:rFonts w:ascii="Times New Roman" w:hAnsi="Times New Roman" w:cs="Times New Roman"/>
              </w:rPr>
              <w:t>lower confidence limit</w:t>
            </w:r>
          </w:p>
        </w:tc>
        <w:tc>
          <w:tcPr>
            <w:tcW w:w="5580" w:type="dxa"/>
          </w:tcPr>
          <w:p w14:paraId="07565408" w14:textId="647FB27D" w:rsidR="00D75027" w:rsidRPr="00D75027" w:rsidRDefault="00D75027">
            <w:pPr>
              <w:rPr>
                <w:rFonts w:ascii="Times New Roman" w:hAnsi="Times New Roman" w:cs="Times New Roman"/>
              </w:rPr>
            </w:pPr>
            <w:r>
              <w:rPr>
                <w:rFonts w:ascii="Times New Roman" w:hAnsi="Times New Roman" w:cs="Times New Roman"/>
              </w:rPr>
              <w:t>Upper 95% confidence limit of the average log</w:t>
            </w:r>
            <w:r>
              <w:rPr>
                <w:rFonts w:ascii="Times New Roman" w:hAnsi="Times New Roman" w:cs="Times New Roman"/>
                <w:vertAlign w:val="subscript"/>
              </w:rPr>
              <w:t>2</w:t>
            </w:r>
            <w:r>
              <w:rPr>
                <w:rFonts w:ascii="Times New Roman" w:hAnsi="Times New Roman" w:cs="Times New Roman"/>
              </w:rPr>
              <w:t xml:space="preserve"> fold change</w:t>
            </w:r>
          </w:p>
        </w:tc>
      </w:tr>
      <w:tr w:rsidR="00B64BC3" w14:paraId="00D0C17E" w14:textId="77777777" w:rsidTr="00B64BC3">
        <w:tc>
          <w:tcPr>
            <w:tcW w:w="3240" w:type="dxa"/>
          </w:tcPr>
          <w:p w14:paraId="278B80A2" w14:textId="3C252E44" w:rsidR="00D75027" w:rsidRDefault="00D75027" w:rsidP="00D75027">
            <w:pPr>
              <w:rPr>
                <w:rFonts w:ascii="Times New Roman" w:hAnsi="Times New Roman" w:cs="Times New Roman"/>
              </w:rPr>
            </w:pPr>
            <w:r>
              <w:rPr>
                <w:rFonts w:ascii="Times New Roman" w:hAnsi="Times New Roman" w:cs="Times New Roman"/>
              </w:rPr>
              <w:t>upper confidence limit</w:t>
            </w:r>
          </w:p>
        </w:tc>
        <w:tc>
          <w:tcPr>
            <w:tcW w:w="5580" w:type="dxa"/>
          </w:tcPr>
          <w:p w14:paraId="2DD288A4" w14:textId="7D03DB19" w:rsidR="00D75027" w:rsidRDefault="00D75027" w:rsidP="00D75027">
            <w:pPr>
              <w:rPr>
                <w:rFonts w:ascii="Times New Roman" w:hAnsi="Times New Roman" w:cs="Times New Roman"/>
              </w:rPr>
            </w:pPr>
            <w:r>
              <w:rPr>
                <w:rFonts w:ascii="Times New Roman" w:hAnsi="Times New Roman" w:cs="Times New Roman"/>
              </w:rPr>
              <w:t>Lower 95% confidence limit of the average log</w:t>
            </w:r>
            <w:r>
              <w:rPr>
                <w:rFonts w:ascii="Times New Roman" w:hAnsi="Times New Roman" w:cs="Times New Roman"/>
                <w:vertAlign w:val="subscript"/>
              </w:rPr>
              <w:t>2</w:t>
            </w:r>
            <w:r>
              <w:rPr>
                <w:rFonts w:ascii="Times New Roman" w:hAnsi="Times New Roman" w:cs="Times New Roman"/>
              </w:rPr>
              <w:t xml:space="preserve"> fold change</w:t>
            </w:r>
          </w:p>
        </w:tc>
      </w:tr>
      <w:tr w:rsidR="00B64BC3" w14:paraId="5E077896" w14:textId="77777777" w:rsidTr="00B64BC3">
        <w:tc>
          <w:tcPr>
            <w:tcW w:w="3240" w:type="dxa"/>
          </w:tcPr>
          <w:p w14:paraId="3CAE3685" w14:textId="10B5DFEF" w:rsidR="00D75027" w:rsidRDefault="00AC0186" w:rsidP="00D75027">
            <w:pPr>
              <w:rPr>
                <w:rFonts w:ascii="Times New Roman" w:hAnsi="Times New Roman" w:cs="Times New Roman"/>
              </w:rPr>
            </w:pPr>
            <w:r>
              <w:rPr>
                <w:rFonts w:ascii="Times New Roman" w:hAnsi="Times New Roman" w:cs="Times New Roman"/>
              </w:rPr>
              <w:t>l</w:t>
            </w:r>
            <w:r w:rsidR="00D75027">
              <w:rPr>
                <w:rFonts w:ascii="Times New Roman" w:hAnsi="Times New Roman" w:cs="Times New Roman"/>
              </w:rPr>
              <w:t>inear fold change</w:t>
            </w:r>
          </w:p>
        </w:tc>
        <w:tc>
          <w:tcPr>
            <w:tcW w:w="5580" w:type="dxa"/>
          </w:tcPr>
          <w:p w14:paraId="026E56E0" w14:textId="4346BD59" w:rsidR="00D75027" w:rsidRDefault="00D75027" w:rsidP="00D75027">
            <w:pPr>
              <w:rPr>
                <w:rFonts w:ascii="Times New Roman" w:hAnsi="Times New Roman" w:cs="Times New Roman"/>
              </w:rPr>
            </w:pPr>
            <w:r>
              <w:rPr>
                <w:rFonts w:ascii="Times New Roman" w:hAnsi="Times New Roman" w:cs="Times New Roman"/>
              </w:rPr>
              <w:t>Average linear fold change calculated for comparison indicated by name of spreadsheet tab</w:t>
            </w:r>
          </w:p>
        </w:tc>
      </w:tr>
      <w:tr w:rsidR="00B64BC3" w14:paraId="07A52BBE" w14:textId="77777777" w:rsidTr="00B64BC3">
        <w:tc>
          <w:tcPr>
            <w:tcW w:w="3240" w:type="dxa"/>
          </w:tcPr>
          <w:p w14:paraId="39AB51C8" w14:textId="42BB429B" w:rsidR="00D75027" w:rsidRDefault="00D75027" w:rsidP="00D75027">
            <w:pPr>
              <w:rPr>
                <w:rFonts w:ascii="Times New Roman" w:hAnsi="Times New Roman" w:cs="Times New Roman"/>
              </w:rPr>
            </w:pPr>
            <w:r>
              <w:rPr>
                <w:rFonts w:ascii="Times New Roman" w:hAnsi="Times New Roman" w:cs="Times New Roman"/>
              </w:rPr>
              <w:t>lower confidence limit (linear)</w:t>
            </w:r>
          </w:p>
        </w:tc>
        <w:tc>
          <w:tcPr>
            <w:tcW w:w="5580" w:type="dxa"/>
          </w:tcPr>
          <w:p w14:paraId="7C6D4962" w14:textId="08D5C179" w:rsidR="00D75027" w:rsidRDefault="00D75027" w:rsidP="00D75027">
            <w:pPr>
              <w:rPr>
                <w:rFonts w:ascii="Times New Roman" w:hAnsi="Times New Roman" w:cs="Times New Roman"/>
              </w:rPr>
            </w:pPr>
            <w:r>
              <w:rPr>
                <w:rFonts w:ascii="Times New Roman" w:hAnsi="Times New Roman" w:cs="Times New Roman"/>
              </w:rPr>
              <w:t>Upper 95% confidence limit of the average linear fold change</w:t>
            </w:r>
          </w:p>
        </w:tc>
      </w:tr>
      <w:tr w:rsidR="00B64BC3" w14:paraId="5689D8EB" w14:textId="77777777" w:rsidTr="00B64BC3">
        <w:tc>
          <w:tcPr>
            <w:tcW w:w="3240" w:type="dxa"/>
          </w:tcPr>
          <w:p w14:paraId="4B052EC6" w14:textId="0499F962" w:rsidR="00D75027" w:rsidRDefault="00D75027" w:rsidP="00D75027">
            <w:pPr>
              <w:rPr>
                <w:rFonts w:ascii="Times New Roman" w:hAnsi="Times New Roman" w:cs="Times New Roman"/>
              </w:rPr>
            </w:pPr>
            <w:r>
              <w:rPr>
                <w:rFonts w:ascii="Times New Roman" w:hAnsi="Times New Roman" w:cs="Times New Roman"/>
              </w:rPr>
              <w:t>upper confidence limit (linear)</w:t>
            </w:r>
          </w:p>
        </w:tc>
        <w:tc>
          <w:tcPr>
            <w:tcW w:w="5580" w:type="dxa"/>
          </w:tcPr>
          <w:p w14:paraId="20E0437D" w14:textId="2B4E72FD" w:rsidR="00D75027" w:rsidRDefault="00D75027" w:rsidP="00D75027">
            <w:pPr>
              <w:rPr>
                <w:rFonts w:ascii="Times New Roman" w:hAnsi="Times New Roman" w:cs="Times New Roman"/>
              </w:rPr>
            </w:pPr>
            <w:r>
              <w:rPr>
                <w:rFonts w:ascii="Times New Roman" w:hAnsi="Times New Roman" w:cs="Times New Roman"/>
              </w:rPr>
              <w:t>Lower 95% confidence limit of the average linear fold change</w:t>
            </w:r>
          </w:p>
        </w:tc>
      </w:tr>
      <w:tr w:rsidR="00B64BC3" w14:paraId="35B1E26F" w14:textId="77777777" w:rsidTr="00B64BC3">
        <w:tc>
          <w:tcPr>
            <w:tcW w:w="3240" w:type="dxa"/>
          </w:tcPr>
          <w:p w14:paraId="41F463A9" w14:textId="39582667" w:rsidR="00D75027" w:rsidRDefault="00D75027" w:rsidP="00D75027">
            <w:pPr>
              <w:rPr>
                <w:rFonts w:ascii="Times New Roman" w:hAnsi="Times New Roman" w:cs="Times New Roman"/>
              </w:rPr>
            </w:pPr>
            <w:r>
              <w:rPr>
                <w:rFonts w:ascii="Times New Roman" w:hAnsi="Times New Roman" w:cs="Times New Roman"/>
              </w:rPr>
              <w:t>P-value</w:t>
            </w:r>
          </w:p>
        </w:tc>
        <w:tc>
          <w:tcPr>
            <w:tcW w:w="5580" w:type="dxa"/>
          </w:tcPr>
          <w:p w14:paraId="57A024D5" w14:textId="78AAD8EA" w:rsidR="00D75027" w:rsidRDefault="00D75027" w:rsidP="00D75027">
            <w:pPr>
              <w:rPr>
                <w:rFonts w:ascii="Times New Roman" w:hAnsi="Times New Roman" w:cs="Times New Roman"/>
              </w:rPr>
            </w:pPr>
            <w:r>
              <w:rPr>
                <w:rFonts w:ascii="Times New Roman" w:hAnsi="Times New Roman" w:cs="Times New Roman"/>
              </w:rPr>
              <w:t>Unadjusted P-value</w:t>
            </w:r>
          </w:p>
        </w:tc>
      </w:tr>
      <w:tr w:rsidR="00B64BC3" w14:paraId="3F4ADF4B" w14:textId="77777777" w:rsidTr="00B64BC3">
        <w:tc>
          <w:tcPr>
            <w:tcW w:w="3240" w:type="dxa"/>
          </w:tcPr>
          <w:p w14:paraId="669AE280" w14:textId="44CFEF44" w:rsidR="00D75027" w:rsidRDefault="00D75027" w:rsidP="00D75027">
            <w:pPr>
              <w:rPr>
                <w:rFonts w:ascii="Times New Roman" w:hAnsi="Times New Roman" w:cs="Times New Roman"/>
              </w:rPr>
            </w:pPr>
            <w:proofErr w:type="spellStart"/>
            <w:r>
              <w:rPr>
                <w:rFonts w:ascii="Times New Roman" w:hAnsi="Times New Roman" w:cs="Times New Roman"/>
              </w:rPr>
              <w:t>BH.p.value</w:t>
            </w:r>
            <w:proofErr w:type="spellEnd"/>
          </w:p>
        </w:tc>
        <w:tc>
          <w:tcPr>
            <w:tcW w:w="5580" w:type="dxa"/>
          </w:tcPr>
          <w:p w14:paraId="5EF02F13" w14:textId="523606BC" w:rsidR="00D75027" w:rsidRDefault="00D75027" w:rsidP="00D75027">
            <w:pPr>
              <w:rPr>
                <w:rFonts w:ascii="Times New Roman" w:hAnsi="Times New Roman" w:cs="Times New Roman"/>
              </w:rPr>
            </w:pPr>
            <w:r>
              <w:rPr>
                <w:rFonts w:ascii="Times New Roman" w:hAnsi="Times New Roman" w:cs="Times New Roman"/>
              </w:rPr>
              <w:t xml:space="preserve">False discovery rate adjusted P-value using the </w:t>
            </w:r>
            <w:proofErr w:type="spellStart"/>
            <w:r>
              <w:rPr>
                <w:rFonts w:ascii="Times New Roman" w:hAnsi="Times New Roman" w:cs="Times New Roman"/>
              </w:rPr>
              <w:t>Benjamini</w:t>
            </w:r>
            <w:proofErr w:type="spellEnd"/>
            <w:r>
              <w:rPr>
                <w:rFonts w:ascii="Times New Roman" w:hAnsi="Times New Roman" w:cs="Times New Roman"/>
              </w:rPr>
              <w:t>-Hochberg method</w:t>
            </w:r>
          </w:p>
        </w:tc>
      </w:tr>
      <w:tr w:rsidR="00B64BC3" w14:paraId="5A2C62E0" w14:textId="77777777" w:rsidTr="00B64BC3">
        <w:tc>
          <w:tcPr>
            <w:tcW w:w="3240" w:type="dxa"/>
          </w:tcPr>
          <w:p w14:paraId="69A0A2A1" w14:textId="005726D7" w:rsidR="00D75027" w:rsidRDefault="00D75027" w:rsidP="00D75027">
            <w:pPr>
              <w:rPr>
                <w:rFonts w:ascii="Times New Roman" w:hAnsi="Times New Roman" w:cs="Times New Roman"/>
              </w:rPr>
            </w:pPr>
            <w:r>
              <w:rPr>
                <w:rFonts w:ascii="Times New Roman" w:hAnsi="Times New Roman" w:cs="Times New Roman"/>
              </w:rPr>
              <w:t>method</w:t>
            </w:r>
          </w:p>
        </w:tc>
        <w:tc>
          <w:tcPr>
            <w:tcW w:w="5580" w:type="dxa"/>
          </w:tcPr>
          <w:p w14:paraId="528BD9B9" w14:textId="7509A446" w:rsidR="00D75027" w:rsidRDefault="00D75027" w:rsidP="00D75027">
            <w:pPr>
              <w:rPr>
                <w:rFonts w:ascii="Times New Roman" w:hAnsi="Times New Roman" w:cs="Times New Roman"/>
              </w:rPr>
            </w:pPr>
            <w:r>
              <w:rPr>
                <w:rFonts w:ascii="Times New Roman" w:hAnsi="Times New Roman" w:cs="Times New Roman"/>
              </w:rPr>
              <w:t>Differential expression test method, where “</w:t>
            </w:r>
            <w:proofErr w:type="spellStart"/>
            <w:r>
              <w:rPr>
                <w:rFonts w:ascii="Times New Roman" w:hAnsi="Times New Roman" w:cs="Times New Roman"/>
              </w:rPr>
              <w:t>wald</w:t>
            </w:r>
            <w:proofErr w:type="spellEnd"/>
            <w:r>
              <w:rPr>
                <w:rFonts w:ascii="Times New Roman" w:hAnsi="Times New Roman" w:cs="Times New Roman"/>
              </w:rPr>
              <w:t xml:space="preserve">” indicates the mixture </w:t>
            </w:r>
            <w:r w:rsidR="00B64BC3">
              <w:rPr>
                <w:rFonts w:ascii="Times New Roman" w:hAnsi="Times New Roman" w:cs="Times New Roman"/>
              </w:rPr>
              <w:t xml:space="preserve">negative binomial </w:t>
            </w:r>
            <w:r>
              <w:rPr>
                <w:rFonts w:ascii="Times New Roman" w:hAnsi="Times New Roman" w:cs="Times New Roman"/>
              </w:rPr>
              <w:t>model, “</w:t>
            </w:r>
            <w:proofErr w:type="spellStart"/>
            <w:proofErr w:type="gramStart"/>
            <w:r>
              <w:rPr>
                <w:rFonts w:ascii="Times New Roman" w:hAnsi="Times New Roman" w:cs="Times New Roman"/>
              </w:rPr>
              <w:t>lm.nb</w:t>
            </w:r>
            <w:proofErr w:type="spellEnd"/>
            <w:proofErr w:type="gramEnd"/>
            <w:r>
              <w:rPr>
                <w:rFonts w:ascii="Times New Roman" w:hAnsi="Times New Roman" w:cs="Times New Roman"/>
              </w:rPr>
              <w:t xml:space="preserve">” indicates the simplified </w:t>
            </w:r>
            <w:r w:rsidR="00B64BC3">
              <w:rPr>
                <w:rFonts w:ascii="Times New Roman" w:hAnsi="Times New Roman" w:cs="Times New Roman"/>
              </w:rPr>
              <w:t xml:space="preserve">negative binomial </w:t>
            </w:r>
            <w:r>
              <w:rPr>
                <w:rFonts w:ascii="Times New Roman" w:hAnsi="Times New Roman" w:cs="Times New Roman"/>
              </w:rPr>
              <w:t>model, and “loglinear” indicates the log-linear model.</w:t>
            </w:r>
          </w:p>
        </w:tc>
      </w:tr>
      <w:tr w:rsidR="00B64BC3" w14:paraId="3F0E9A0D" w14:textId="77777777" w:rsidTr="00AC0186">
        <w:tc>
          <w:tcPr>
            <w:tcW w:w="3240" w:type="dxa"/>
          </w:tcPr>
          <w:p w14:paraId="178B882A" w14:textId="749FDD02" w:rsidR="00B64BC3" w:rsidRDefault="00B64BC3" w:rsidP="00D75027">
            <w:pPr>
              <w:rPr>
                <w:rFonts w:ascii="Times New Roman" w:hAnsi="Times New Roman" w:cs="Times New Roman"/>
              </w:rPr>
            </w:pPr>
            <w:proofErr w:type="spellStart"/>
            <w:r>
              <w:rPr>
                <w:rFonts w:ascii="Times New Roman" w:hAnsi="Times New Roman" w:cs="Times New Roman"/>
              </w:rPr>
              <w:t>Gene.sets</w:t>
            </w:r>
            <w:proofErr w:type="spellEnd"/>
          </w:p>
        </w:tc>
        <w:tc>
          <w:tcPr>
            <w:tcW w:w="5580" w:type="dxa"/>
          </w:tcPr>
          <w:p w14:paraId="5EF383A8" w14:textId="3071D7D0" w:rsidR="00B64BC3" w:rsidRDefault="00B64BC3" w:rsidP="00D75027">
            <w:pPr>
              <w:rPr>
                <w:rFonts w:ascii="Times New Roman" w:hAnsi="Times New Roman" w:cs="Times New Roman"/>
              </w:rPr>
            </w:pPr>
            <w:r>
              <w:rPr>
                <w:rFonts w:ascii="Times New Roman" w:hAnsi="Times New Roman" w:cs="Times New Roman"/>
              </w:rPr>
              <w:t xml:space="preserve">Gene sets or pathways to which the indicated gene belongs within the annotated </w:t>
            </w:r>
            <w:proofErr w:type="spellStart"/>
            <w:r>
              <w:rPr>
                <w:rFonts w:ascii="Times New Roman" w:hAnsi="Times New Roman" w:cs="Times New Roman"/>
              </w:rPr>
              <w:t>Nanostring</w:t>
            </w:r>
            <w:proofErr w:type="spellEnd"/>
            <w:r>
              <w:rPr>
                <w:rFonts w:ascii="Times New Roman" w:hAnsi="Times New Roman" w:cs="Times New Roman"/>
              </w:rPr>
              <w:t xml:space="preserve"> probe set</w:t>
            </w:r>
          </w:p>
        </w:tc>
      </w:tr>
      <w:tr w:rsidR="00AC0186" w14:paraId="1479F93E" w14:textId="77777777" w:rsidTr="00B64BC3">
        <w:tc>
          <w:tcPr>
            <w:tcW w:w="3240" w:type="dxa"/>
            <w:tcBorders>
              <w:bottom w:val="single" w:sz="4" w:space="0" w:color="auto"/>
            </w:tcBorders>
          </w:tcPr>
          <w:p w14:paraId="797933ED" w14:textId="265B8702" w:rsidR="00AC0186" w:rsidRDefault="00AC0186" w:rsidP="00D75027">
            <w:pPr>
              <w:rPr>
                <w:rFonts w:ascii="Times New Roman" w:hAnsi="Times New Roman" w:cs="Times New Roman"/>
              </w:rPr>
            </w:pPr>
            <w:r>
              <w:rPr>
                <w:rFonts w:ascii="Times New Roman" w:hAnsi="Times New Roman" w:cs="Times New Roman"/>
              </w:rPr>
              <w:t>probe.ID</w:t>
            </w:r>
          </w:p>
        </w:tc>
        <w:tc>
          <w:tcPr>
            <w:tcW w:w="5580" w:type="dxa"/>
            <w:tcBorders>
              <w:bottom w:val="single" w:sz="4" w:space="0" w:color="auto"/>
            </w:tcBorders>
          </w:tcPr>
          <w:p w14:paraId="39C9F99E" w14:textId="416620BD" w:rsidR="00AC0186" w:rsidRDefault="00AC0186" w:rsidP="00D75027">
            <w:pPr>
              <w:rPr>
                <w:rFonts w:ascii="Times New Roman" w:hAnsi="Times New Roman" w:cs="Times New Roman"/>
              </w:rPr>
            </w:pPr>
            <w:proofErr w:type="spellStart"/>
            <w:r>
              <w:rPr>
                <w:rFonts w:ascii="Times New Roman" w:hAnsi="Times New Roman" w:cs="Times New Roman"/>
              </w:rPr>
              <w:t>NanoString</w:t>
            </w:r>
            <w:proofErr w:type="spellEnd"/>
            <w:r>
              <w:rPr>
                <w:rFonts w:ascii="Times New Roman" w:hAnsi="Times New Roman" w:cs="Times New Roman"/>
              </w:rPr>
              <w:t xml:space="preserve"> probe identification</w:t>
            </w:r>
          </w:p>
        </w:tc>
      </w:tr>
    </w:tbl>
    <w:p w14:paraId="1F76742A" w14:textId="77777777" w:rsidR="0009011F" w:rsidRPr="00F163FD" w:rsidRDefault="0009011F">
      <w:pPr>
        <w:rPr>
          <w:rFonts w:ascii="Times New Roman" w:hAnsi="Times New Roman" w:cs="Times New Roman"/>
        </w:rPr>
      </w:pPr>
    </w:p>
    <w:p w14:paraId="3D41F74F" w14:textId="77777777" w:rsidR="007C30D6" w:rsidRPr="00F163FD" w:rsidRDefault="007C30D6">
      <w:pPr>
        <w:rPr>
          <w:rFonts w:ascii="Times New Roman" w:hAnsi="Times New Roman" w:cs="Times New Roman"/>
          <w:b/>
        </w:rPr>
      </w:pPr>
    </w:p>
    <w:p w14:paraId="26B966D2" w14:textId="77777777"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9B43D3" w:rsidRPr="00F163FD">
        <w:rPr>
          <w:rFonts w:ascii="Times New Roman" w:hAnsi="Times New Roman" w:cs="Times New Roman"/>
        </w:rPr>
        <w:t>Toxicology</w:t>
      </w:r>
    </w:p>
    <w:p w14:paraId="31AA46F4" w14:textId="77777777" w:rsidR="00A07DE5" w:rsidRPr="00F163FD" w:rsidRDefault="00A07DE5">
      <w:pPr>
        <w:rPr>
          <w:rFonts w:ascii="Times New Roman" w:hAnsi="Times New Roman" w:cs="Times New Roman"/>
          <w:i/>
        </w:rPr>
      </w:pPr>
      <w:r w:rsidRPr="00F163FD">
        <w:rPr>
          <w:rFonts w:ascii="Times New Roman" w:hAnsi="Times New Roman" w:cs="Times New Roman"/>
          <w:i/>
        </w:rPr>
        <w:lastRenderedPageBreak/>
        <w:t>We usually select based on your department and area</w:t>
      </w:r>
    </w:p>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6"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162BC8E3" w14:textId="77777777" w:rsidR="00A07DE5" w:rsidRPr="00F163FD" w:rsidRDefault="00A07DE5">
      <w:pPr>
        <w:rPr>
          <w:rFonts w:ascii="Times New Roman" w:hAnsi="Times New Roman" w:cs="Times New Roman"/>
          <w:b/>
        </w:rPr>
      </w:pPr>
      <w:r w:rsidRPr="00F163FD">
        <w:rPr>
          <w:rFonts w:ascii="Times New Roman" w:hAnsi="Times New Roman" w:cs="Times New Roman"/>
          <w:b/>
        </w:rPr>
        <w:t>Keywords:</w:t>
      </w:r>
    </w:p>
    <w:p w14:paraId="55D5AC7C" w14:textId="77777777" w:rsidR="00AC0186" w:rsidRPr="00C225D6" w:rsidRDefault="00AC0186" w:rsidP="00AC0186">
      <w:pPr>
        <w:rPr>
          <w:rFonts w:ascii="Times New Roman" w:hAnsi="Times New Roman" w:cs="Times New Roman"/>
          <w:b/>
        </w:rPr>
      </w:pPr>
      <w:r w:rsidRPr="00697E16">
        <w:t>Western diet; colitis; inflammation; colorectal cancer; calcium; vitamin D; transcript profiling</w:t>
      </w:r>
      <w:r>
        <w:t xml:space="preserve">; </w:t>
      </w:r>
      <w:proofErr w:type="spellStart"/>
      <w:r>
        <w:t>NanoString</w:t>
      </w:r>
      <w:proofErr w:type="spellEnd"/>
    </w:p>
    <w:p w14:paraId="2C56D807" w14:textId="77777777" w:rsidR="00F163FD" w:rsidRPr="00F163FD" w:rsidRDefault="00F163FD">
      <w:pPr>
        <w:rPr>
          <w:rFonts w:ascii="Times New Roman" w:hAnsi="Times New Roman" w:cs="Times New Roman"/>
          <w:b/>
        </w:rPr>
      </w:pPr>
    </w:p>
    <w:p w14:paraId="243EB804" w14:textId="4C4BBE9C" w:rsidR="00A07DE5" w:rsidRPr="00F163FD" w:rsidRDefault="00A07DE5">
      <w:pPr>
        <w:rPr>
          <w:rFonts w:ascii="Times New Roman" w:hAnsi="Times New Roman" w:cs="Times New Roman"/>
        </w:rPr>
      </w:pPr>
      <w:r w:rsidRPr="00F163FD">
        <w:rPr>
          <w:rFonts w:ascii="Times New Roman" w:hAnsi="Times New Roman" w:cs="Times New Roman"/>
          <w:b/>
        </w:rPr>
        <w:t xml:space="preserve">Journal:  </w:t>
      </w:r>
      <w:r w:rsidR="00AC0186">
        <w:rPr>
          <w:rFonts w:ascii="Times New Roman" w:hAnsi="Times New Roman" w:cs="Times New Roman"/>
        </w:rPr>
        <w:t>Nutrients</w:t>
      </w:r>
    </w:p>
    <w:p w14:paraId="15263D35" w14:textId="77777777" w:rsidR="00A07DE5" w:rsidRPr="00F163FD" w:rsidRDefault="00A07DE5">
      <w:pPr>
        <w:rPr>
          <w:rFonts w:ascii="Times New Roman" w:hAnsi="Times New Roman" w:cs="Times New Roman"/>
          <w:i/>
        </w:rPr>
      </w:pPr>
      <w:r w:rsidRPr="00F163FD">
        <w:rPr>
          <w:rFonts w:ascii="Times New Roman" w:hAnsi="Times New Roman" w:cs="Times New Roman"/>
          <w:i/>
        </w:rPr>
        <w:t>If applicable, name of journal in which your article is appearing that your dataset is supporting</w:t>
      </w:r>
    </w:p>
    <w:p w14:paraId="7706E63A" w14:textId="77777777" w:rsidR="00A07DE5" w:rsidRPr="00F163FD" w:rsidRDefault="00A07DE5">
      <w:pPr>
        <w:rPr>
          <w:rFonts w:ascii="Times New Roman" w:hAnsi="Times New Roman" w:cs="Times New Roman"/>
          <w:i/>
        </w:rPr>
      </w:pPr>
    </w:p>
    <w:p w14:paraId="5EBB4650" w14:textId="77777777" w:rsidR="007C30D6" w:rsidRPr="00F163FD" w:rsidRDefault="007C30D6">
      <w:pPr>
        <w:rPr>
          <w:rFonts w:ascii="Times New Roman" w:hAnsi="Times New Roman" w:cs="Times New Roman"/>
          <w:b/>
        </w:rPr>
      </w:pPr>
    </w:p>
    <w:p w14:paraId="51856605" w14:textId="10DC55FB" w:rsidR="00A07DE5" w:rsidRPr="00F163FD" w:rsidRDefault="00A07DE5">
      <w:pPr>
        <w:rPr>
          <w:rFonts w:ascii="Times New Roman" w:hAnsi="Times New Roman" w:cs="Times New Roman"/>
        </w:rPr>
      </w:pPr>
      <w:r w:rsidRPr="00F163FD">
        <w:rPr>
          <w:rFonts w:ascii="Times New Roman" w:hAnsi="Times New Roman" w:cs="Times New Roman"/>
          <w:b/>
        </w:rPr>
        <w:t xml:space="preserve">Volume, Issue, Date (year is fine that is all you have): </w:t>
      </w:r>
    </w:p>
    <w:p w14:paraId="05A7AA6F" w14:textId="77777777" w:rsidR="00A07DE5" w:rsidRPr="00F163FD" w:rsidRDefault="00A07DE5">
      <w:pPr>
        <w:rPr>
          <w:rFonts w:ascii="Times New Roman" w:hAnsi="Times New Roman" w:cs="Times New Roman"/>
          <w:i/>
        </w:rPr>
      </w:pPr>
      <w:r w:rsidRPr="00F163FD">
        <w:rPr>
          <w:rFonts w:ascii="Times New Roman" w:hAnsi="Times New Roman" w:cs="Times New Roman"/>
          <w:i/>
        </w:rPr>
        <w:t>For journal issue</w:t>
      </w:r>
    </w:p>
    <w:p w14:paraId="0C4204EC" w14:textId="6FDB3E2B" w:rsidR="00A07DE5" w:rsidRPr="00AC0186" w:rsidRDefault="00AC0186">
      <w:pPr>
        <w:rPr>
          <w:rFonts w:ascii="Times New Roman" w:hAnsi="Times New Roman" w:cs="Times New Roman"/>
        </w:rPr>
      </w:pPr>
      <w:r>
        <w:rPr>
          <w:rFonts w:ascii="Times New Roman" w:hAnsi="Times New Roman" w:cs="Times New Roman"/>
        </w:rPr>
        <w:t>2020</w:t>
      </w:r>
    </w:p>
    <w:p w14:paraId="5BC385BC" w14:textId="77777777" w:rsidR="007C30D6" w:rsidRPr="00F163FD" w:rsidRDefault="007C30D6">
      <w:pPr>
        <w:rPr>
          <w:rFonts w:ascii="Times New Roman" w:hAnsi="Times New Roman" w:cs="Times New Roman"/>
          <w:b/>
        </w:rPr>
      </w:pPr>
    </w:p>
    <w:p w14:paraId="76EE5961" w14:textId="469E6361" w:rsidR="00A07DE5" w:rsidRPr="00F163FD" w:rsidRDefault="00A07DE5">
      <w:pPr>
        <w:rPr>
          <w:rFonts w:ascii="Times New Roman" w:hAnsi="Times New Roman" w:cs="Times New Roman"/>
          <w:i/>
        </w:rPr>
      </w:pPr>
      <w:r w:rsidRPr="00F163FD">
        <w:rPr>
          <w:rFonts w:ascii="Times New Roman" w:hAnsi="Times New Roman" w:cs="Times New Roman"/>
          <w:b/>
        </w:rPr>
        <w:t>Embargo:</w:t>
      </w:r>
      <w:r w:rsidR="00BB1D2B" w:rsidRPr="00F163FD">
        <w:rPr>
          <w:rFonts w:ascii="Times New Roman" w:hAnsi="Times New Roman" w:cs="Times New Roman"/>
          <w:b/>
        </w:rPr>
        <w:t xml:space="preserve">  </w:t>
      </w:r>
      <w:r w:rsidR="00AC0186">
        <w:rPr>
          <w:rFonts w:ascii="Times New Roman" w:hAnsi="Times New Roman" w:cs="Times New Roman"/>
        </w:rPr>
        <w:t>02/18/2020</w:t>
      </w:r>
    </w:p>
    <w:p w14:paraId="22B1C458" w14:textId="6512D5D9" w:rsidR="000F0086" w:rsidRPr="00F163FD" w:rsidRDefault="00A07DE5" w:rsidP="00060BDB">
      <w:pPr>
        <w:rPr>
          <w:rFonts w:ascii="Times New Roman" w:hAnsi="Times New Roman" w:cs="Times New Roman"/>
        </w:rPr>
      </w:pPr>
      <w:r w:rsidRPr="00F163FD">
        <w:rPr>
          <w:rFonts w:ascii="Times New Roman" w:hAnsi="Times New Roman" w:cs="Times New Roman"/>
          <w:i/>
        </w:rPr>
        <w:t>Date that you want the data to be made public.  If immediate, enter today’s date</w:t>
      </w:r>
      <w:bookmarkStart w:id="0" w:name="_GoBack"/>
      <w:bookmarkEnd w:id="0"/>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ago">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60BDB"/>
    <w:rsid w:val="0009011F"/>
    <w:rsid w:val="000F0086"/>
    <w:rsid w:val="003F0657"/>
    <w:rsid w:val="00445C97"/>
    <w:rsid w:val="004C0360"/>
    <w:rsid w:val="00565B26"/>
    <w:rsid w:val="007874AA"/>
    <w:rsid w:val="007C30D6"/>
    <w:rsid w:val="008E24A2"/>
    <w:rsid w:val="009B43D3"/>
    <w:rsid w:val="00A07DE5"/>
    <w:rsid w:val="00AC0186"/>
    <w:rsid w:val="00B129A6"/>
    <w:rsid w:val="00B64BC3"/>
    <w:rsid w:val="00B71A58"/>
    <w:rsid w:val="00BB1D2B"/>
    <w:rsid w:val="00BE0236"/>
    <w:rsid w:val="00D75027"/>
    <w:rsid w:val="00D843CC"/>
    <w:rsid w:val="00E46284"/>
    <w:rsid w:val="00F163FD"/>
    <w:rsid w:val="00F21CB8"/>
    <w:rsid w:val="00F37A8E"/>
    <w:rsid w:val="00F87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styleId="UnresolvedMention">
    <w:name w:val="Unresolved Mention"/>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1771662566">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work.bepress.com/"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Mike Shelton</cp:lastModifiedBy>
  <cp:revision>3</cp:revision>
  <dcterms:created xsi:type="dcterms:W3CDTF">2020-02-19T00:03:00Z</dcterms:created>
  <dcterms:modified xsi:type="dcterms:W3CDTF">2020-02-19T15:06:00Z</dcterms:modified>
</cp:coreProperties>
</file>